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FE7" w:rsidRDefault="00796FE7" w:rsidP="00796FE7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წითელას გავრცელების შეჩერების მიზნით </w:t>
      </w:r>
    </w:p>
    <w:p w:rsidR="00796FE7" w:rsidRPr="00796FE7" w:rsidRDefault="00796FE7" w:rsidP="00796FE7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მასობრივი აცრების კამპანიის შესახებ</w:t>
      </w:r>
    </w:p>
    <w:p w:rsidR="00796FE7" w:rsidRDefault="00796FE7">
      <w:pPr>
        <w:rPr>
          <w:rFonts w:ascii="Sylfaen" w:hAnsi="Sylfaen"/>
          <w:lang w:val="ka-GE"/>
        </w:rPr>
      </w:pPr>
    </w:p>
    <w:p w:rsidR="00676283" w:rsidRDefault="00E955E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წითელას გავრცელების შეჩერების მიზნით ასაცრელი კონტიგენტის გათვლა</w:t>
      </w:r>
    </w:p>
    <w:p w:rsidR="00E955E7" w:rsidRDefault="00E955E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გათვლისას გათვალისწინებული დაშვებები:</w:t>
      </w:r>
    </w:p>
    <w:p w:rsidR="00E955E7" w:rsidRDefault="00E955E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მოსახლეობა ასაკობრივი ჯგუფებით - საქსტატის მონაცემებით;</w:t>
      </w:r>
    </w:p>
    <w:p w:rsidR="00E955E7" w:rsidRDefault="0075230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2004-2017 წლების წწყ ვაქცინაციით მოცვის ადმინისტრაციული </w:t>
      </w:r>
      <w:r w:rsidR="003A4A81">
        <w:rPr>
          <w:rFonts w:ascii="Sylfaen" w:hAnsi="Sylfaen"/>
          <w:lang w:val="ka-GE"/>
        </w:rPr>
        <w:t>მაჩვენებლები</w:t>
      </w:r>
      <w:r>
        <w:rPr>
          <w:rFonts w:ascii="Sylfaen" w:hAnsi="Sylfaen"/>
          <w:lang w:val="ka-GE"/>
        </w:rPr>
        <w:t>;</w:t>
      </w:r>
    </w:p>
    <w:tbl>
      <w:tblPr>
        <w:tblW w:w="10000" w:type="dxa"/>
        <w:tblInd w:w="5" w:type="dxa"/>
        <w:tblLook w:val="04A0" w:firstRow="1" w:lastRow="0" w:firstColumn="1" w:lastColumn="0" w:noHBand="0" w:noVBand="1"/>
      </w:tblPr>
      <w:tblGrid>
        <w:gridCol w:w="1610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  <w:gridCol w:w="656"/>
      </w:tblGrid>
      <w:tr w:rsidR="003A4A81" w:rsidRPr="003A4A81" w:rsidTr="003A4A81">
        <w:trPr>
          <w:trHeight w:val="315"/>
        </w:trPr>
        <w:tc>
          <w:tcPr>
            <w:tcW w:w="5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A81" w:rsidRPr="003A4A81" w:rsidRDefault="003A4A81" w:rsidP="00F01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Vaccination coverage rates (%), Georgia, </w:t>
            </w:r>
            <w:r w:rsidR="00F012FF">
              <w:rPr>
                <w:rFonts w:ascii="Sylfaen" w:eastAsia="Times New Roman" w:hAnsi="Sylfaen" w:cs="Times New Roman"/>
                <w:b/>
                <w:bCs/>
                <w:i/>
                <w:iCs/>
                <w:color w:val="000000"/>
                <w:sz w:val="24"/>
                <w:szCs w:val="24"/>
                <w:lang w:val="ka-GE"/>
              </w:rPr>
              <w:t>2004</w:t>
            </w:r>
            <w:r w:rsidRPr="003A4A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-2017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A81" w:rsidRPr="003A4A81" w:rsidRDefault="003A4A81" w:rsidP="003A4A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A81" w:rsidRPr="003A4A81" w:rsidRDefault="003A4A81" w:rsidP="003A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A81" w:rsidRPr="003A4A81" w:rsidRDefault="003A4A81" w:rsidP="003A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A81" w:rsidRPr="003A4A81" w:rsidRDefault="003A4A81" w:rsidP="003A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A81" w:rsidRPr="003A4A81" w:rsidRDefault="003A4A81" w:rsidP="003A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A81" w:rsidRPr="003A4A81" w:rsidRDefault="003A4A81" w:rsidP="003A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A81" w:rsidRPr="003A4A81" w:rsidRDefault="003A4A81" w:rsidP="003A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A81" w:rsidRPr="003A4A81" w:rsidRDefault="003A4A81" w:rsidP="003A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4A81" w:rsidRPr="003A4A81" w:rsidTr="003A4A81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Antigens/years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2017</w:t>
            </w:r>
          </w:p>
        </w:tc>
      </w:tr>
      <w:tr w:rsidR="003A4A81" w:rsidRPr="003A4A81" w:rsidTr="003A4A8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MMR1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96,0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97,0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96,5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94,3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96,5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92,2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96,1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95,5</w:t>
            </w:r>
          </w:p>
        </w:tc>
      </w:tr>
      <w:tr w:rsidR="003A4A81" w:rsidRPr="003A4A81" w:rsidTr="003A4A81">
        <w:trPr>
          <w:trHeight w:val="3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MMR2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75,0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87,0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83,8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77,0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88,7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90,9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85,4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A81" w:rsidRPr="003A4A81" w:rsidRDefault="003A4A81" w:rsidP="003A4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A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89,9</w:t>
            </w:r>
          </w:p>
        </w:tc>
      </w:tr>
    </w:tbl>
    <w:p w:rsidR="003A4A81" w:rsidRDefault="003A4A81">
      <w:pPr>
        <w:rPr>
          <w:rFonts w:ascii="Sylfaen" w:hAnsi="Sylfaen"/>
          <w:lang w:val="ka-GE"/>
        </w:rPr>
      </w:pPr>
    </w:p>
    <w:p w:rsidR="006624C3" w:rsidRDefault="0001753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1978- 1998 წლების კოჰორტისთვის</w:t>
      </w:r>
      <w:r w:rsidR="002A3B29">
        <w:rPr>
          <w:rFonts w:ascii="Sylfaen" w:hAnsi="Sylfaen"/>
          <w:lang w:val="ka-GE"/>
        </w:rPr>
        <w:t xml:space="preserve">, არაიმუნურთა რაოდენობის დასათვლელად გამოყენებულია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CDC-</w:t>
      </w:r>
      <w:r w:rsidR="00437A3C">
        <w:rPr>
          <w:rFonts w:ascii="Sylfaen" w:hAnsi="Sylfaen"/>
          <w:lang w:val="ka-GE"/>
        </w:rPr>
        <w:t>აშშ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ჩატარებული სეროლოგიური კვლევის </w:t>
      </w:r>
      <w:r w:rsidR="002A3B29">
        <w:rPr>
          <w:rFonts w:ascii="Sylfaen" w:hAnsi="Sylfaen"/>
          <w:lang w:val="ka-GE"/>
        </w:rPr>
        <w:t xml:space="preserve">(გამოუქვეყნებელი) </w:t>
      </w:r>
      <w:r>
        <w:rPr>
          <w:rFonts w:ascii="Sylfaen" w:hAnsi="Sylfaen"/>
          <w:lang w:val="ka-GE"/>
        </w:rPr>
        <w:t>შედეგები</w:t>
      </w:r>
      <w:r w:rsidR="002A3B29">
        <w:rPr>
          <w:rFonts w:ascii="Sylfaen" w:hAnsi="Sylfaen"/>
          <w:lang w:val="ka-GE"/>
        </w:rPr>
        <w:t xml:space="preserve">. </w:t>
      </w:r>
    </w:p>
    <w:tbl>
      <w:tblPr>
        <w:tblW w:w="10042" w:type="dxa"/>
        <w:tblLook w:val="04A0" w:firstRow="1" w:lastRow="0" w:firstColumn="1" w:lastColumn="0" w:noHBand="0" w:noVBand="1"/>
      </w:tblPr>
      <w:tblGrid>
        <w:gridCol w:w="1881"/>
        <w:gridCol w:w="748"/>
        <w:gridCol w:w="1706"/>
        <w:gridCol w:w="1218"/>
        <w:gridCol w:w="641"/>
        <w:gridCol w:w="1706"/>
        <w:gridCol w:w="1218"/>
        <w:gridCol w:w="924"/>
      </w:tblGrid>
      <w:tr w:rsidR="006624C3" w:rsidRPr="006624C3" w:rsidTr="000F17E2">
        <w:trPr>
          <w:trHeight w:val="301"/>
        </w:trPr>
        <w:tc>
          <w:tcPr>
            <w:tcW w:w="219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74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 No. tested</w:t>
            </w:r>
          </w:p>
        </w:tc>
        <w:tc>
          <w:tcPr>
            <w:tcW w:w="354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62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IgG</w:t>
            </w:r>
            <w:proofErr w:type="spellEnd"/>
            <w:r w:rsidRPr="00662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-negative to measles </w:t>
            </w:r>
          </w:p>
        </w:tc>
        <w:tc>
          <w:tcPr>
            <w:tcW w:w="355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62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IgG</w:t>
            </w:r>
            <w:proofErr w:type="spellEnd"/>
            <w:r w:rsidRPr="00662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-negative to rubella </w:t>
            </w:r>
          </w:p>
        </w:tc>
      </w:tr>
      <w:tr w:rsidR="000F17E2" w:rsidRPr="006624C3" w:rsidTr="000F17E2">
        <w:trPr>
          <w:trHeight w:val="502"/>
        </w:trPr>
        <w:tc>
          <w:tcPr>
            <w:tcW w:w="21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Crude No.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Weighted % </w:t>
            </w:r>
          </w:p>
        </w:tc>
        <w:tc>
          <w:tcPr>
            <w:tcW w:w="6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95% CI</w:t>
            </w:r>
          </w:p>
        </w:tc>
        <w:tc>
          <w:tcPr>
            <w:tcW w:w="20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Crude No.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Weighted % 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95% </w:t>
            </w:r>
            <w:r w:rsidRPr="006624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CI</w:t>
            </w:r>
          </w:p>
        </w:tc>
      </w:tr>
      <w:tr w:rsidR="000F17E2" w:rsidRPr="006624C3" w:rsidTr="000F17E2">
        <w:trPr>
          <w:trHeight w:val="28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Overall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3152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4.9-7.6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7.1-10.1</w:t>
            </w:r>
          </w:p>
        </w:tc>
      </w:tr>
      <w:tr w:rsidR="000F17E2" w:rsidRPr="006624C3" w:rsidTr="000F17E2">
        <w:trPr>
          <w:trHeight w:val="28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7E2" w:rsidRPr="006624C3" w:rsidTr="000F17E2">
        <w:trPr>
          <w:trHeight w:val="287"/>
        </w:trPr>
        <w:tc>
          <w:tcPr>
            <w:tcW w:w="2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Age groups (birth years)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7E2" w:rsidRPr="006624C3" w:rsidTr="000F17E2">
        <w:trPr>
          <w:trHeight w:val="28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7E2" w:rsidRPr="006624C3" w:rsidTr="000F17E2">
        <w:trPr>
          <w:trHeight w:val="488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18-24 years (1991-1997)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6.3-13.9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7.7-15.6</w:t>
            </w:r>
          </w:p>
        </w:tc>
      </w:tr>
      <w:tr w:rsidR="000F17E2" w:rsidRPr="006624C3" w:rsidTr="000F17E2">
        <w:trPr>
          <w:trHeight w:val="488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25-29 years (1986-1990)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4.8-11.3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11.1-19.5</w:t>
            </w:r>
          </w:p>
        </w:tc>
      </w:tr>
      <w:tr w:rsidR="000F17E2" w:rsidRPr="006624C3" w:rsidTr="000F17E2">
        <w:trPr>
          <w:trHeight w:val="488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30-34 years (1981-1985)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3.0-9.1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10,2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6.5-13.8</w:t>
            </w:r>
          </w:p>
        </w:tc>
      </w:tr>
      <w:tr w:rsidR="000F17E2" w:rsidRPr="006624C3" w:rsidTr="000F17E2">
        <w:trPr>
          <w:trHeight w:val="488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35-39 years (1976-1980)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2.3-13.1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2.6-7.1</w:t>
            </w:r>
          </w:p>
        </w:tc>
      </w:tr>
      <w:tr w:rsidR="000F17E2" w:rsidRPr="006624C3" w:rsidTr="000F17E2">
        <w:trPr>
          <w:trHeight w:val="488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40-44 years (1971-1975)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1.4-6.5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1.6-5.2</w:t>
            </w:r>
          </w:p>
        </w:tc>
      </w:tr>
      <w:tr w:rsidR="000F17E2" w:rsidRPr="006624C3" w:rsidTr="000F17E2">
        <w:trPr>
          <w:trHeight w:val="488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45-50 years (1965-1970)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0.4-2.1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2.1-6.8</w:t>
            </w:r>
          </w:p>
        </w:tc>
      </w:tr>
      <w:tr w:rsidR="000F17E2" w:rsidRPr="006624C3" w:rsidTr="000F17E2">
        <w:trPr>
          <w:trHeight w:val="287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17E2" w:rsidRPr="006624C3" w:rsidTr="000F17E2">
        <w:trPr>
          <w:trHeight w:val="488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18-29 years (1986-1997)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9,1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6.9-11.4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10.3-16.4</w:t>
            </w:r>
          </w:p>
        </w:tc>
      </w:tr>
      <w:tr w:rsidR="000F17E2" w:rsidRPr="006624C3" w:rsidTr="000F17E2">
        <w:trPr>
          <w:trHeight w:val="488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30-39 years (1976-1985)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1078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3.8-9.7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5.5=10.1</w:t>
            </w:r>
          </w:p>
        </w:tc>
      </w:tr>
      <w:tr w:rsidR="000F17E2" w:rsidRPr="006624C3" w:rsidTr="000F17E2">
        <w:trPr>
          <w:trHeight w:val="502"/>
        </w:trPr>
        <w:tc>
          <w:tcPr>
            <w:tcW w:w="2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40-50 years (1965-1975)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1064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1.2-3.9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24C3" w:rsidRPr="006624C3" w:rsidRDefault="006624C3" w:rsidP="00662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624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2.4=5.4</w:t>
            </w:r>
          </w:p>
        </w:tc>
      </w:tr>
    </w:tbl>
    <w:p w:rsidR="006624C3" w:rsidRDefault="006624C3">
      <w:pPr>
        <w:rPr>
          <w:rFonts w:ascii="Sylfaen" w:hAnsi="Sylfaen"/>
          <w:lang w:val="ka-GE"/>
        </w:rPr>
      </w:pPr>
    </w:p>
    <w:p w:rsidR="002A3B29" w:rsidRDefault="002A3B2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კვლევის </w:t>
      </w:r>
      <w:r w:rsidR="000F77C5">
        <w:rPr>
          <w:rFonts w:ascii="Sylfaen" w:hAnsi="Sylfaen"/>
          <w:lang w:val="ka-GE"/>
        </w:rPr>
        <w:t>მონაცემთ</w:t>
      </w:r>
      <w:r>
        <w:rPr>
          <w:rFonts w:ascii="Sylfaen" w:hAnsi="Sylfaen"/>
          <w:lang w:val="ka-GE"/>
        </w:rPr>
        <w:t xml:space="preserve">ა მიხედვით, </w:t>
      </w:r>
      <w:r w:rsidR="000F77C5">
        <w:rPr>
          <w:rFonts w:ascii="Sylfaen" w:hAnsi="Sylfaen"/>
          <w:lang w:val="ka-GE"/>
        </w:rPr>
        <w:t>1978-1985 წლებში დაბადებულთა კოჰორტაში წითელას მიმართ მიმღებთა (</w:t>
      </w:r>
      <w:r w:rsidR="000F77C5" w:rsidRPr="006624C3">
        <w:rPr>
          <w:rFonts w:ascii="Sylfaen" w:hAnsi="Sylfaen"/>
          <w:lang w:val="ka-GE"/>
        </w:rPr>
        <w:t xml:space="preserve">IgG - </w:t>
      </w:r>
      <w:r w:rsidR="000F77C5">
        <w:rPr>
          <w:rFonts w:ascii="Sylfaen" w:hAnsi="Sylfaen"/>
          <w:lang w:val="ka-GE"/>
        </w:rPr>
        <w:t xml:space="preserve">ნეგატიური) </w:t>
      </w:r>
      <w:r w:rsidR="00D60ED0">
        <w:rPr>
          <w:rFonts w:ascii="Sylfaen" w:hAnsi="Sylfaen"/>
          <w:lang w:val="ka-GE"/>
        </w:rPr>
        <w:t>შეწონილი პროცენტი არის 6,8%. 1986-1990 წლებში დაბადებულთა კოჰორტისთვის წითელას მიმართ მიმღებთა (</w:t>
      </w:r>
      <w:r w:rsidR="00D60ED0" w:rsidRPr="006624C3">
        <w:rPr>
          <w:rFonts w:ascii="Sylfaen" w:hAnsi="Sylfaen"/>
          <w:lang w:val="ka-GE"/>
        </w:rPr>
        <w:t xml:space="preserve">IgG - </w:t>
      </w:r>
      <w:r w:rsidR="00D60ED0">
        <w:rPr>
          <w:rFonts w:ascii="Sylfaen" w:hAnsi="Sylfaen"/>
          <w:lang w:val="ka-GE"/>
        </w:rPr>
        <w:t xml:space="preserve">ნეგატიური) შეწონილი პროცენტი აღმოჩნდა </w:t>
      </w:r>
      <w:r w:rsidR="006624C3">
        <w:rPr>
          <w:rFonts w:ascii="Sylfaen" w:hAnsi="Sylfaen"/>
          <w:lang w:val="ka-GE"/>
        </w:rPr>
        <w:t>საშუალოდ 6,</w:t>
      </w:r>
      <w:r w:rsidR="00D60ED0">
        <w:rPr>
          <w:rFonts w:ascii="Sylfaen" w:hAnsi="Sylfaen"/>
          <w:lang w:val="ka-GE"/>
        </w:rPr>
        <w:t>8%; ხოლო</w:t>
      </w:r>
      <w:r w:rsidR="00BD3C62">
        <w:rPr>
          <w:rFonts w:ascii="Sylfaen" w:hAnsi="Sylfaen"/>
          <w:lang w:val="ka-GE"/>
        </w:rPr>
        <w:t xml:space="preserve"> 1991-1998 წლებში დაბადებულთა კოჰორტისთვის წითელას მიმართ მიმღებთა (</w:t>
      </w:r>
      <w:r w:rsidR="00BD3C62" w:rsidRPr="006624C3">
        <w:rPr>
          <w:rFonts w:ascii="Sylfaen" w:hAnsi="Sylfaen"/>
          <w:lang w:val="ka-GE"/>
        </w:rPr>
        <w:t xml:space="preserve">IgG - </w:t>
      </w:r>
      <w:r w:rsidR="00BD3C62">
        <w:rPr>
          <w:rFonts w:ascii="Sylfaen" w:hAnsi="Sylfaen"/>
          <w:lang w:val="ka-GE"/>
        </w:rPr>
        <w:t>ნეგატიური) შეწონილი პროცენტი 10,1%-ია.</w:t>
      </w:r>
    </w:p>
    <w:p w:rsidR="00E02D45" w:rsidRDefault="00615BC6" w:rsidP="00E02D4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წითელაზე </w:t>
      </w:r>
      <w:r w:rsidRPr="006624C3">
        <w:rPr>
          <w:rFonts w:ascii="Sylfaen" w:hAnsi="Sylfaen"/>
          <w:lang w:val="ka-GE"/>
        </w:rPr>
        <w:t xml:space="preserve">IgG </w:t>
      </w:r>
      <w:r>
        <w:rPr>
          <w:rFonts w:ascii="Sylfaen" w:hAnsi="Sylfaen"/>
          <w:lang w:val="ka-GE"/>
        </w:rPr>
        <w:t xml:space="preserve">ნეგატიური </w:t>
      </w:r>
      <w:r w:rsidR="00BD3C62">
        <w:rPr>
          <w:rFonts w:ascii="Sylfaen" w:hAnsi="Sylfaen"/>
          <w:lang w:val="ka-GE"/>
        </w:rPr>
        <w:t>მოსახლების რაოდენობა აბსოლიტურ რიცხვებში</w:t>
      </w:r>
      <w:r>
        <w:rPr>
          <w:rFonts w:ascii="Sylfaen" w:hAnsi="Sylfaen"/>
          <w:lang w:val="ka-GE"/>
        </w:rPr>
        <w:t xml:space="preserve">, </w:t>
      </w:r>
      <w:r w:rsidR="008F38E2">
        <w:rPr>
          <w:rFonts w:ascii="Sylfaen" w:hAnsi="Sylfaen"/>
          <w:lang w:val="ka-GE"/>
        </w:rPr>
        <w:t>1978-1998 წლებში დაბადებულთა კოჰორტისთვის შეადგენს დაახლოებით 93500;</w:t>
      </w:r>
      <w:r w:rsidR="00E02D45" w:rsidRPr="00E02D45">
        <w:rPr>
          <w:rFonts w:ascii="Sylfaen" w:hAnsi="Sylfaen"/>
          <w:lang w:val="ka-GE"/>
        </w:rPr>
        <w:t xml:space="preserve"> </w:t>
      </w:r>
    </w:p>
    <w:tbl>
      <w:tblPr>
        <w:tblW w:w="4040" w:type="dxa"/>
        <w:tblInd w:w="-5" w:type="dxa"/>
        <w:tblLook w:val="04A0" w:firstRow="1" w:lastRow="0" w:firstColumn="1" w:lastColumn="0" w:noHBand="0" w:noVBand="1"/>
      </w:tblPr>
      <w:tblGrid>
        <w:gridCol w:w="1337"/>
        <w:gridCol w:w="960"/>
        <w:gridCol w:w="1860"/>
        <w:gridCol w:w="1653"/>
      </w:tblGrid>
      <w:tr w:rsidR="00D27851" w:rsidRPr="00D27851" w:rsidTr="00D27851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27851">
              <w:rPr>
                <w:rFonts w:ascii="Sylfaen" w:eastAsia="Times New Roman" w:hAnsi="Sylfaen" w:cs="Sylfaen"/>
                <w:color w:val="000000"/>
              </w:rPr>
              <w:t>დაბადების</w:t>
            </w:r>
            <w:proofErr w:type="spellEnd"/>
            <w:r w:rsidRPr="00D2785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27851">
              <w:rPr>
                <w:rFonts w:ascii="Sylfaen" w:eastAsia="Times New Roman" w:hAnsi="Sylfaen" w:cs="Sylfaen"/>
                <w:color w:val="000000"/>
              </w:rPr>
              <w:t>წელი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27851">
              <w:rPr>
                <w:rFonts w:ascii="Sylfaen" w:eastAsia="Times New Roman" w:hAnsi="Sylfaen" w:cs="Sylfaen"/>
                <w:color w:val="000000"/>
              </w:rPr>
              <w:t>ასაკი</w:t>
            </w:r>
            <w:proofErr w:type="spellEnd"/>
            <w:r w:rsidRPr="00D27851">
              <w:rPr>
                <w:rFonts w:ascii="Calibri" w:eastAsia="Times New Roman" w:hAnsi="Calibri" w:cs="Calibri"/>
                <w:color w:val="000000"/>
              </w:rPr>
              <w:t xml:space="preserve"> 2018 -</w:t>
            </w:r>
            <w:proofErr w:type="spellStart"/>
            <w:r w:rsidRPr="00D27851">
              <w:rPr>
                <w:rFonts w:ascii="Sylfaen" w:eastAsia="Times New Roman" w:hAnsi="Sylfaen" w:cs="Sylfaen"/>
                <w:color w:val="000000"/>
              </w:rPr>
              <w:t>ში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27851">
              <w:rPr>
                <w:rFonts w:ascii="Sylfaen" w:eastAsia="Times New Roman" w:hAnsi="Sylfaen" w:cs="Sylfaen"/>
                <w:color w:val="000000"/>
              </w:rPr>
              <w:t>არაიმუნურთა</w:t>
            </w:r>
            <w:proofErr w:type="spellEnd"/>
            <w:r w:rsidRPr="00D27851">
              <w:rPr>
                <w:rFonts w:ascii="Calibri" w:eastAsia="Times New Roman" w:hAnsi="Calibri" w:cs="Calibri"/>
                <w:color w:val="000000"/>
              </w:rPr>
              <w:t xml:space="preserve"> % CDC-</w:t>
            </w:r>
            <w:proofErr w:type="spellStart"/>
            <w:r w:rsidRPr="00D27851">
              <w:rPr>
                <w:rFonts w:ascii="Sylfaen" w:eastAsia="Times New Roman" w:hAnsi="Sylfaen" w:cs="Sylfaen"/>
                <w:color w:val="000000"/>
              </w:rPr>
              <w:t>ის</w:t>
            </w:r>
            <w:proofErr w:type="spellEnd"/>
            <w:r w:rsidRPr="00D2785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27851">
              <w:rPr>
                <w:rFonts w:ascii="Sylfaen" w:eastAsia="Times New Roman" w:hAnsi="Sylfaen" w:cs="Sylfaen"/>
                <w:color w:val="000000"/>
              </w:rPr>
              <w:t>კვლევით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D27851">
              <w:rPr>
                <w:rFonts w:ascii="Sylfaen" w:eastAsia="Times New Roman" w:hAnsi="Sylfaen" w:cs="Sylfaen"/>
                <w:color w:val="000000"/>
              </w:rPr>
              <w:t>არაიმუნურთა</w:t>
            </w:r>
            <w:proofErr w:type="spellEnd"/>
            <w:proofErr w:type="gramEnd"/>
            <w:r w:rsidRPr="00D2785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27851">
              <w:rPr>
                <w:rFonts w:ascii="Sylfaen" w:eastAsia="Times New Roman" w:hAnsi="Sylfaen" w:cs="Sylfaen"/>
                <w:color w:val="000000"/>
              </w:rPr>
              <w:t>აბს</w:t>
            </w:r>
            <w:proofErr w:type="spellEnd"/>
            <w:r w:rsidRPr="00D27851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D27851">
              <w:rPr>
                <w:rFonts w:ascii="Sylfaen" w:eastAsia="Times New Roman" w:hAnsi="Sylfaen" w:cs="Sylfaen"/>
                <w:color w:val="000000"/>
              </w:rPr>
              <w:t>რ</w:t>
            </w:r>
            <w:r w:rsidRPr="00D27851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D27851">
              <w:rPr>
                <w:rFonts w:ascii="Sylfaen" w:eastAsia="Times New Roman" w:hAnsi="Sylfaen" w:cs="Sylfaen"/>
                <w:color w:val="000000"/>
              </w:rPr>
              <w:t>ობა</w:t>
            </w:r>
            <w:proofErr w:type="spellEnd"/>
            <w:r w:rsidRPr="00D2785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D27851" w:rsidRPr="00D27851" w:rsidTr="00D2785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1978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3295</w:t>
            </w:r>
          </w:p>
        </w:tc>
      </w:tr>
      <w:tr w:rsidR="00D27851" w:rsidRPr="00D27851" w:rsidTr="00D2785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1979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6,8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51" w:rsidRPr="00D27851" w:rsidRDefault="00D27851" w:rsidP="00D27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16980</w:t>
            </w:r>
          </w:p>
        </w:tc>
      </w:tr>
      <w:tr w:rsidR="00D27851" w:rsidRPr="00D27851" w:rsidTr="00D2785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1980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6,8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51" w:rsidRPr="00D27851" w:rsidRDefault="00D27851" w:rsidP="00D278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27851" w:rsidRPr="00D27851" w:rsidTr="00D2785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1981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6,8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51" w:rsidRPr="00D27851" w:rsidRDefault="00D27851" w:rsidP="00D278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27851" w:rsidRPr="00D27851" w:rsidTr="00D2785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1982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6,8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51" w:rsidRPr="00D27851" w:rsidRDefault="00D27851" w:rsidP="00D278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27851" w:rsidRPr="00D27851" w:rsidTr="00D2785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1983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6,8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51" w:rsidRPr="00D27851" w:rsidRDefault="00D27851" w:rsidP="00D278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27851" w:rsidRPr="00D27851" w:rsidTr="00D2785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1984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6,8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51" w:rsidRPr="00D27851" w:rsidRDefault="00D27851" w:rsidP="00D27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21744</w:t>
            </w:r>
          </w:p>
        </w:tc>
      </w:tr>
      <w:tr w:rsidR="00D27851" w:rsidRPr="00D27851" w:rsidTr="00D2785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1985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6,8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51" w:rsidRPr="00D27851" w:rsidRDefault="00D27851" w:rsidP="00D278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27851" w:rsidRPr="00D27851" w:rsidTr="00D2785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1986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51" w:rsidRPr="00D27851" w:rsidRDefault="00D27851" w:rsidP="00D278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27851" w:rsidRPr="00D27851" w:rsidTr="00D2785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1987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51" w:rsidRPr="00D27851" w:rsidRDefault="00D27851" w:rsidP="00D278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27851" w:rsidRPr="00D27851" w:rsidTr="00D2785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1988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51" w:rsidRPr="00D27851" w:rsidRDefault="00D27851" w:rsidP="00D278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27851" w:rsidRPr="00D27851" w:rsidTr="00D2785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1989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51" w:rsidRPr="00D27851" w:rsidRDefault="00D27851" w:rsidP="00D27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28108</w:t>
            </w:r>
          </w:p>
        </w:tc>
      </w:tr>
      <w:tr w:rsidR="00D27851" w:rsidRPr="00D27851" w:rsidTr="00D2785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1990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51" w:rsidRPr="00D27851" w:rsidRDefault="00D27851" w:rsidP="00D278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27851" w:rsidRPr="00D27851" w:rsidTr="00D2785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1991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10,1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51" w:rsidRPr="00D27851" w:rsidRDefault="00D27851" w:rsidP="00D278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27851" w:rsidRPr="00D27851" w:rsidTr="00D2785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1992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10,1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51" w:rsidRPr="00D27851" w:rsidRDefault="00D27851" w:rsidP="00D278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27851" w:rsidRPr="00D27851" w:rsidTr="00D2785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10,1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51" w:rsidRPr="00D27851" w:rsidRDefault="00D27851" w:rsidP="00D278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27851" w:rsidRPr="00D27851" w:rsidTr="00D2785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10,1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851" w:rsidRPr="00D27851" w:rsidRDefault="00D27851" w:rsidP="00D27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23361</w:t>
            </w:r>
          </w:p>
        </w:tc>
      </w:tr>
      <w:tr w:rsidR="00D27851" w:rsidRPr="00D27851" w:rsidTr="00D2785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1995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10,1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51" w:rsidRPr="00D27851" w:rsidRDefault="00D27851" w:rsidP="00D278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27851" w:rsidRPr="00D27851" w:rsidTr="00D2785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1996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10,1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51" w:rsidRPr="00D27851" w:rsidRDefault="00D27851" w:rsidP="00D278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27851" w:rsidRPr="00D27851" w:rsidTr="00D2785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1997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10,1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51" w:rsidRPr="00D27851" w:rsidRDefault="00D27851" w:rsidP="00D278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27851" w:rsidRPr="00D27851" w:rsidTr="00D2785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1998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10,1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51" w:rsidRPr="00D27851" w:rsidRDefault="00D27851" w:rsidP="00D278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27851" w:rsidRPr="00D27851" w:rsidTr="00D2785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27851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851" w:rsidRPr="00D27851" w:rsidRDefault="00D27851" w:rsidP="00D2785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27851">
              <w:rPr>
                <w:rFonts w:ascii="Calibri" w:eastAsia="Times New Roman" w:hAnsi="Calibri" w:cs="Calibri"/>
                <w:color w:val="000000"/>
              </w:rPr>
              <w:t>93488</w:t>
            </w:r>
          </w:p>
        </w:tc>
      </w:tr>
    </w:tbl>
    <w:p w:rsidR="00D27851" w:rsidRDefault="00D27851" w:rsidP="00E02D45">
      <w:pPr>
        <w:rPr>
          <w:rFonts w:ascii="Sylfaen" w:hAnsi="Sylfaen"/>
          <w:lang w:val="ka-GE"/>
        </w:rPr>
      </w:pPr>
    </w:p>
    <w:p w:rsidR="00E02D45" w:rsidRDefault="00E02D45" w:rsidP="00E02D4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გასათვალისწინებელია, რომ 2013-2017 წლებში დამატებითი იმუნიზაციისას აცრილია 200 000 ადამინი, რამაც ზემოქმედება მოახდინა </w:t>
      </w:r>
      <w:r w:rsidRPr="00C3344C">
        <w:rPr>
          <w:rFonts w:ascii="Sylfaen" w:hAnsi="Sylfaen"/>
          <w:lang w:val="ka-GE"/>
        </w:rPr>
        <w:t>CDC-</w:t>
      </w:r>
      <w:r>
        <w:rPr>
          <w:rFonts w:ascii="Sylfaen" w:hAnsi="Sylfaen"/>
          <w:lang w:val="ka-GE"/>
        </w:rPr>
        <w:t>აშშ</w:t>
      </w:r>
      <w:r w:rsidRPr="00C3344C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ჩატარებული სეროლოგიური კვლევის </w:t>
      </w:r>
      <w:r>
        <w:rPr>
          <w:rFonts w:ascii="Sylfaen" w:hAnsi="Sylfaen"/>
          <w:lang w:val="ka-GE"/>
        </w:rPr>
        <w:lastRenderedPageBreak/>
        <w:t>(გამოუქვეყნებელი) შედეგებზე, რადგან 200 000-დან 75% აცრილია საკვლევი მასალის შეგროვებამდე</w:t>
      </w:r>
      <w:r w:rsidR="004A5B24">
        <w:rPr>
          <w:rFonts w:ascii="Sylfaen" w:hAnsi="Sylfaen"/>
          <w:lang w:val="ka-GE"/>
        </w:rPr>
        <w:t>, ხოლო 1-14 წლის ასაკობრივ კოჰორტაში ემატებოდა გეგმიური ვაქცინაციის სამიზნე კონტიგენტსა და შესრულებას.</w:t>
      </w:r>
    </w:p>
    <w:p w:rsidR="008F38E2" w:rsidRDefault="008F38E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რაც შეეხება </w:t>
      </w:r>
      <w:r w:rsidR="000F17E2">
        <w:rPr>
          <w:rFonts w:ascii="Sylfaen" w:hAnsi="Sylfaen"/>
          <w:lang w:val="ka-GE"/>
        </w:rPr>
        <w:t xml:space="preserve">1999-2017 წლებში დაბადებულთა კოჰორტას, რომელთაგან ნაწილი - 2004-2017 წლებში დაბადებულნი აცრილი არიან </w:t>
      </w:r>
      <w:r w:rsidR="00CD5FE1">
        <w:rPr>
          <w:rFonts w:ascii="Sylfaen" w:hAnsi="Sylfaen"/>
          <w:lang w:val="ka-GE"/>
        </w:rPr>
        <w:t xml:space="preserve">წწყ ვაქცინის 1 ან 2 დოზით (მოცვის მაჩვენებლები მოყვანილია ზემოთ), სრულიად არაიმუნურთა სავარაუდო რაოდენობა უნდა შეადგენდეს </w:t>
      </w:r>
      <w:r w:rsidR="00A01AFC">
        <w:rPr>
          <w:rFonts w:ascii="Sylfaen" w:hAnsi="Sylfaen"/>
          <w:lang w:val="ka-GE"/>
        </w:rPr>
        <w:t>დაახლოებით 58 000-ს.</w:t>
      </w:r>
    </w:p>
    <w:tbl>
      <w:tblPr>
        <w:tblW w:w="4320" w:type="dxa"/>
        <w:tblInd w:w="-5" w:type="dxa"/>
        <w:tblLook w:val="04A0" w:firstRow="1" w:lastRow="0" w:firstColumn="1" w:lastColumn="0" w:noHBand="0" w:noVBand="1"/>
      </w:tblPr>
      <w:tblGrid>
        <w:gridCol w:w="737"/>
        <w:gridCol w:w="1653"/>
        <w:gridCol w:w="880"/>
        <w:gridCol w:w="1653"/>
      </w:tblGrid>
      <w:tr w:rsidR="00B76326" w:rsidRPr="00B76326" w:rsidTr="00B76326">
        <w:trPr>
          <w:trHeight w:val="12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6326">
              <w:rPr>
                <w:rFonts w:ascii="Sylfaen" w:eastAsia="Times New Roman" w:hAnsi="Sylfaen" w:cs="Sylfaen"/>
                <w:color w:val="000000"/>
              </w:rPr>
              <w:t>ასაკი</w:t>
            </w:r>
            <w:proofErr w:type="spellEnd"/>
            <w:r w:rsidRPr="00B76326">
              <w:rPr>
                <w:rFonts w:ascii="Calibri" w:eastAsia="Times New Roman" w:hAnsi="Calibri" w:cs="Calibri"/>
                <w:color w:val="000000"/>
              </w:rPr>
              <w:t xml:space="preserve"> 2017-</w:t>
            </w:r>
            <w:r w:rsidRPr="00B76326">
              <w:rPr>
                <w:rFonts w:ascii="Sylfaen" w:eastAsia="Times New Roman" w:hAnsi="Sylfaen" w:cs="Sylfaen"/>
                <w:color w:val="000000"/>
              </w:rPr>
              <w:t>ში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 xml:space="preserve">I </w:t>
            </w:r>
            <w:proofErr w:type="spellStart"/>
            <w:r w:rsidRPr="00B76326">
              <w:rPr>
                <w:rFonts w:ascii="Sylfaen" w:eastAsia="Times New Roman" w:hAnsi="Sylfaen" w:cs="Sylfaen"/>
                <w:color w:val="000000"/>
              </w:rPr>
              <w:t>დოზა</w:t>
            </w:r>
            <w:proofErr w:type="spellEnd"/>
            <w:r w:rsidRPr="00B7632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proofErr w:type="gramStart"/>
            <w:r w:rsidRPr="00B76326">
              <w:rPr>
                <w:rFonts w:ascii="Sylfaen" w:eastAsia="Times New Roman" w:hAnsi="Sylfaen" w:cs="Sylfaen"/>
                <w:color w:val="000000"/>
              </w:rPr>
              <w:t>არაიმუნურთა</w:t>
            </w:r>
            <w:proofErr w:type="spellEnd"/>
            <w:proofErr w:type="gramEnd"/>
            <w:r w:rsidRPr="00B7632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76326">
              <w:rPr>
                <w:rFonts w:ascii="Sylfaen" w:eastAsia="Times New Roman" w:hAnsi="Sylfaen" w:cs="Sylfaen"/>
                <w:color w:val="000000"/>
              </w:rPr>
              <w:t>აბს</w:t>
            </w:r>
            <w:proofErr w:type="spellEnd"/>
            <w:r w:rsidRPr="00B7632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B76326">
              <w:rPr>
                <w:rFonts w:ascii="Sylfaen" w:eastAsia="Times New Roman" w:hAnsi="Sylfaen" w:cs="Sylfaen"/>
                <w:color w:val="000000"/>
              </w:rPr>
              <w:t>რ</w:t>
            </w:r>
            <w:r w:rsidRPr="00B76326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B76326">
              <w:rPr>
                <w:rFonts w:ascii="Sylfaen" w:eastAsia="Times New Roman" w:hAnsi="Sylfaen" w:cs="Sylfaen"/>
                <w:color w:val="000000"/>
              </w:rPr>
              <w:t>ობა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6326">
              <w:rPr>
                <w:rFonts w:ascii="Sylfaen" w:eastAsia="Times New Roman" w:hAnsi="Sylfaen" w:cs="Sylfaen"/>
                <w:color w:val="000000"/>
              </w:rPr>
              <w:t>ასაკი</w:t>
            </w:r>
            <w:proofErr w:type="spellEnd"/>
            <w:r w:rsidRPr="00B76326">
              <w:rPr>
                <w:rFonts w:ascii="Calibri" w:eastAsia="Times New Roman" w:hAnsi="Calibri" w:cs="Calibri"/>
                <w:color w:val="000000"/>
              </w:rPr>
              <w:t xml:space="preserve"> 2017-</w:t>
            </w:r>
            <w:r w:rsidRPr="00B76326">
              <w:rPr>
                <w:rFonts w:ascii="Sylfaen" w:eastAsia="Times New Roman" w:hAnsi="Sylfaen" w:cs="Sylfaen"/>
                <w:color w:val="000000"/>
              </w:rPr>
              <w:t>ში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 xml:space="preserve">II </w:t>
            </w:r>
            <w:proofErr w:type="spellStart"/>
            <w:r w:rsidRPr="00B76326">
              <w:rPr>
                <w:rFonts w:ascii="Sylfaen" w:eastAsia="Times New Roman" w:hAnsi="Sylfaen" w:cs="Sylfaen"/>
                <w:color w:val="000000"/>
              </w:rPr>
              <w:t>დოზა</w:t>
            </w:r>
            <w:proofErr w:type="spellEnd"/>
            <w:r w:rsidRPr="00B7632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proofErr w:type="gramStart"/>
            <w:r w:rsidRPr="00B76326">
              <w:rPr>
                <w:rFonts w:ascii="Sylfaen" w:eastAsia="Times New Roman" w:hAnsi="Sylfaen" w:cs="Sylfaen"/>
                <w:color w:val="000000"/>
              </w:rPr>
              <w:t>არაიმუნურთა</w:t>
            </w:r>
            <w:proofErr w:type="spellEnd"/>
            <w:proofErr w:type="gramEnd"/>
            <w:r w:rsidRPr="00B7632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76326">
              <w:rPr>
                <w:rFonts w:ascii="Sylfaen" w:eastAsia="Times New Roman" w:hAnsi="Sylfaen" w:cs="Sylfaen"/>
                <w:color w:val="000000"/>
              </w:rPr>
              <w:t>აბს</w:t>
            </w:r>
            <w:proofErr w:type="spellEnd"/>
            <w:r w:rsidRPr="00B76326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Pr="00B76326">
              <w:rPr>
                <w:rFonts w:ascii="Sylfaen" w:eastAsia="Times New Roman" w:hAnsi="Sylfaen" w:cs="Sylfaen"/>
                <w:color w:val="000000"/>
              </w:rPr>
              <w:t>რ</w:t>
            </w:r>
            <w:r w:rsidRPr="00B76326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B76326">
              <w:rPr>
                <w:rFonts w:ascii="Sylfaen" w:eastAsia="Times New Roman" w:hAnsi="Sylfaen" w:cs="Sylfaen"/>
                <w:color w:val="000000"/>
              </w:rPr>
              <w:t>ობა</w:t>
            </w:r>
            <w:proofErr w:type="spellEnd"/>
            <w:r w:rsidRPr="00B7632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B76326" w:rsidRPr="00B76326" w:rsidTr="00B7632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7000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12500</w:t>
            </w:r>
          </w:p>
        </w:tc>
      </w:tr>
      <w:tr w:rsidR="00B76326" w:rsidRPr="00B76326" w:rsidTr="00B7632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6500</w:t>
            </w:r>
          </w:p>
        </w:tc>
      </w:tr>
      <w:tr w:rsidR="00B76326" w:rsidRPr="00B76326" w:rsidTr="00B7632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6000</w:t>
            </w:r>
          </w:p>
        </w:tc>
      </w:tr>
      <w:tr w:rsidR="00B76326" w:rsidRPr="00B76326" w:rsidTr="00B7632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1410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4000</w:t>
            </w:r>
          </w:p>
        </w:tc>
      </w:tr>
      <w:tr w:rsidR="00B76326" w:rsidRPr="00B76326" w:rsidTr="00B7632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1698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6500</w:t>
            </w:r>
          </w:p>
        </w:tc>
      </w:tr>
      <w:tr w:rsidR="00B76326" w:rsidRPr="00B76326" w:rsidTr="00B7632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9619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14300</w:t>
            </w:r>
          </w:p>
        </w:tc>
      </w:tr>
      <w:tr w:rsidR="00B76326" w:rsidRPr="00B76326" w:rsidTr="00B7632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3563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8100</w:t>
            </w:r>
          </w:p>
        </w:tc>
      </w:tr>
      <w:tr w:rsidR="00B76326" w:rsidRPr="00B76326" w:rsidTr="00B7632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5571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11500</w:t>
            </w:r>
          </w:p>
        </w:tc>
      </w:tr>
      <w:tr w:rsidR="00B76326" w:rsidRPr="00B76326" w:rsidTr="00B7632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4018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9870</w:t>
            </w:r>
          </w:p>
        </w:tc>
      </w:tr>
      <w:tr w:rsidR="00B76326" w:rsidRPr="00B76326" w:rsidTr="00B7632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1974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5481</w:t>
            </w:r>
          </w:p>
        </w:tc>
      </w:tr>
      <w:tr w:rsidR="00B76326" w:rsidRPr="00B76326" w:rsidTr="00B7632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4493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7450</w:t>
            </w:r>
          </w:p>
        </w:tc>
      </w:tr>
      <w:tr w:rsidR="00B76326" w:rsidRPr="00B76326" w:rsidTr="00B7632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2051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5688</w:t>
            </w:r>
          </w:p>
        </w:tc>
      </w:tr>
      <w:tr w:rsidR="00B76326" w:rsidRPr="00B76326" w:rsidTr="00B7632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3887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9037</w:t>
            </w:r>
          </w:p>
        </w:tc>
      </w:tr>
      <w:tr w:rsidR="00B76326" w:rsidRPr="00B76326" w:rsidTr="00B7632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2534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5797</w:t>
            </w:r>
          </w:p>
        </w:tc>
      </w:tr>
      <w:tr w:rsidR="00B76326" w:rsidRPr="00B76326" w:rsidTr="00B7632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6326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54817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76326">
              <w:rPr>
                <w:rFonts w:ascii="Sylfaen" w:eastAsia="Times New Roman" w:hAnsi="Sylfaen" w:cs="Sylfaen"/>
                <w:color w:val="000000"/>
              </w:rPr>
              <w:t>სულ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6326" w:rsidRPr="00B76326" w:rsidRDefault="00B76326" w:rsidP="00B763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76326">
              <w:rPr>
                <w:rFonts w:ascii="Calibri" w:eastAsia="Times New Roman" w:hAnsi="Calibri" w:cs="Calibri"/>
                <w:color w:val="000000"/>
              </w:rPr>
              <w:t>112723</w:t>
            </w:r>
          </w:p>
        </w:tc>
      </w:tr>
    </w:tbl>
    <w:p w:rsidR="00B76326" w:rsidRDefault="00B76326">
      <w:pPr>
        <w:rPr>
          <w:rFonts w:ascii="Sylfaen" w:hAnsi="Sylfaen"/>
          <w:lang w:val="ka-GE"/>
        </w:rPr>
      </w:pPr>
    </w:p>
    <w:p w:rsidR="00B76326" w:rsidRPr="00B76326" w:rsidRDefault="00B76326" w:rsidP="00B76326">
      <w:pPr>
        <w:rPr>
          <w:rFonts w:ascii="Calibri" w:eastAsia="Times New Roman" w:hAnsi="Calibri" w:cs="Calibri"/>
          <w:color w:val="000000"/>
        </w:rPr>
      </w:pPr>
      <w:r w:rsidRPr="00B76326">
        <w:rPr>
          <w:rFonts w:ascii="Sylfaen" w:hAnsi="Sylfaen"/>
          <w:lang w:val="ka-GE"/>
        </w:rPr>
        <w:t>1-14 წლის კოჰორტა, რომელსაც სავარაუდოდ არ აქვს მიღებული არცერთი დოზა</w:t>
      </w:r>
      <w:r>
        <w:rPr>
          <w:rFonts w:ascii="Sylfaen" w:hAnsi="Sylfaen"/>
          <w:lang w:val="ka-GE"/>
        </w:rPr>
        <w:t xml:space="preserve"> =112723-54817=</w:t>
      </w:r>
      <w:r w:rsidRPr="00B76326">
        <w:rPr>
          <w:rFonts w:ascii="Calibri" w:eastAsia="Times New Roman" w:hAnsi="Calibri" w:cs="Calibri"/>
          <w:color w:val="000000"/>
        </w:rPr>
        <w:t>57906</w:t>
      </w:r>
    </w:p>
    <w:p w:rsidR="00A01AFC" w:rsidRDefault="00A01AF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ამგვარი დანგარიშებით, 41 წლამდე ასაკის არაიმუნურთა კოჰორტა მთლიანად განისაზღვრება 151 500 ადამიანით.</w:t>
      </w:r>
    </w:p>
    <w:p w:rsidR="00CD678D" w:rsidRDefault="00CD678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შედეგები:</w:t>
      </w:r>
    </w:p>
    <w:p w:rsidR="00377919" w:rsidRDefault="007018C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გასათვალისწინებელი შემრევი ფაქტორია, ის რომ მოზრდილ ასაკში დაავადებულ შემთხვევათა 40%-ში არ იძებნება სამედიცინო ჩანაწერი აცრის სტატუსის შესახებ </w:t>
      </w:r>
      <w:r w:rsidR="00377919">
        <w:rPr>
          <w:rFonts w:ascii="Sylfaen" w:hAnsi="Sylfaen"/>
          <w:lang w:val="ka-GE"/>
        </w:rPr>
        <w:t>(</w:t>
      </w:r>
      <w:r w:rsidR="00CD5C3D">
        <w:rPr>
          <w:rFonts w:ascii="Sylfaen" w:hAnsi="Sylfaen"/>
          <w:lang w:val="ka-GE"/>
        </w:rPr>
        <w:t xml:space="preserve">20-40 წლის კოჰორტაში </w:t>
      </w:r>
      <w:r w:rsidR="00377919">
        <w:rPr>
          <w:rFonts w:ascii="Sylfaen" w:hAnsi="Sylfaen"/>
          <w:lang w:val="ka-GE"/>
        </w:rPr>
        <w:t xml:space="preserve">ესაა 431 800 მოქალაქე). </w:t>
      </w:r>
      <w:r>
        <w:rPr>
          <w:rFonts w:ascii="Sylfaen" w:hAnsi="Sylfaen"/>
          <w:lang w:val="ka-GE"/>
        </w:rPr>
        <w:t>შესაბამისად, რეალური “დამიზნებითი“</w:t>
      </w:r>
      <w:r w:rsidR="00CD678D">
        <w:rPr>
          <w:rFonts w:ascii="Sylfaen" w:hAnsi="Sylfaen"/>
          <w:lang w:val="ka-GE"/>
        </w:rPr>
        <w:t xml:space="preserve"> </w:t>
      </w:r>
      <w:r w:rsidR="00193758">
        <w:rPr>
          <w:rFonts w:ascii="Sylfaen" w:hAnsi="Sylfaen"/>
          <w:lang w:val="ka-GE"/>
        </w:rPr>
        <w:t xml:space="preserve"> </w:t>
      </w:r>
      <w:r w:rsidR="00437A3C">
        <w:rPr>
          <w:rFonts w:ascii="Sylfaen" w:hAnsi="Sylfaen"/>
          <w:lang w:val="ka-GE"/>
        </w:rPr>
        <w:t>იმუნიზაცია (</w:t>
      </w:r>
      <w:r w:rsidR="00830D94">
        <w:rPr>
          <w:rFonts w:ascii="Sylfaen" w:hAnsi="Sylfaen"/>
          <w:lang w:val="ka-GE"/>
        </w:rPr>
        <w:t xml:space="preserve">მხოლოდ </w:t>
      </w:r>
      <w:r w:rsidR="00437A3C">
        <w:rPr>
          <w:rFonts w:ascii="Sylfaen" w:hAnsi="Sylfaen"/>
          <w:lang w:val="ka-GE"/>
        </w:rPr>
        <w:t>მათი აცრა ვინც დანამდვილებით არაიმუნურია)</w:t>
      </w:r>
      <w:r w:rsidR="00707C14">
        <w:rPr>
          <w:rFonts w:ascii="Sylfaen" w:hAnsi="Sylfaen"/>
          <w:lang w:val="ka-GE"/>
        </w:rPr>
        <w:t xml:space="preserve"> შეუძლებელია. ჯანმოს რეკომენდაციით - უცნობი აცრის სტატუსი ისაზღვრება როგორც აუცრელი და საჭიროებს 1 დოზის მიცემას. </w:t>
      </w:r>
    </w:p>
    <w:p w:rsidR="00830D94" w:rsidRDefault="001336D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ალტერნატიული საშუალებაა - იმუნური სტატუსის განსაზღვრა, რაც მასობრივად არარეალისტურია - ფასისა და რთული პროცედურის გამო.</w:t>
      </w:r>
    </w:p>
    <w:p w:rsidR="00A76C7E" w:rsidRDefault="0037791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დასკვნა: </w:t>
      </w:r>
    </w:p>
    <w:p w:rsidR="00193758" w:rsidRDefault="005D422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</w:t>
      </w:r>
      <w:r w:rsidR="00796FE7">
        <w:rPr>
          <w:rFonts w:ascii="Sylfaen" w:hAnsi="Sylfaen"/>
          <w:lang w:val="ka-GE"/>
        </w:rPr>
        <w:t xml:space="preserve">კონტინგენტის </w:t>
      </w:r>
      <w:r w:rsidR="00B37D74">
        <w:rPr>
          <w:rFonts w:ascii="Sylfaen" w:hAnsi="Sylfaen"/>
          <w:lang w:val="ka-GE"/>
        </w:rPr>
        <w:t xml:space="preserve">(41 წლამდე ასაკის </w:t>
      </w:r>
      <w:r w:rsidR="00B37D74" w:rsidRPr="004A5B24">
        <w:rPr>
          <w:rFonts w:ascii="Sylfaen" w:hAnsi="Sylfaen"/>
          <w:b/>
          <w:lang w:val="ka-GE"/>
        </w:rPr>
        <w:t>151</w:t>
      </w:r>
      <w:r w:rsidR="00B37D74">
        <w:rPr>
          <w:rFonts w:ascii="Sylfaen" w:hAnsi="Sylfaen"/>
          <w:b/>
          <w:lang w:val="ka-GE"/>
        </w:rPr>
        <w:t> </w:t>
      </w:r>
      <w:r w:rsidR="00B37D74" w:rsidRPr="004A5B24">
        <w:rPr>
          <w:rFonts w:ascii="Sylfaen" w:hAnsi="Sylfaen"/>
          <w:b/>
          <w:lang w:val="ka-GE"/>
        </w:rPr>
        <w:t>500</w:t>
      </w:r>
      <w:r w:rsidR="00B37D74">
        <w:rPr>
          <w:rFonts w:ascii="Sylfaen" w:hAnsi="Sylfaen"/>
          <w:b/>
          <w:lang w:val="ka-GE"/>
        </w:rPr>
        <w:t xml:space="preserve"> მოქალაქე)</w:t>
      </w:r>
      <w:r w:rsidR="00B37D74" w:rsidRPr="004A5B24">
        <w:rPr>
          <w:rFonts w:ascii="Sylfaen" w:hAnsi="Sylfaen"/>
          <w:b/>
          <w:lang w:val="ka-GE"/>
        </w:rPr>
        <w:t xml:space="preserve"> </w:t>
      </w:r>
      <w:r w:rsidR="00B37D74">
        <w:rPr>
          <w:rFonts w:ascii="Sylfaen" w:hAnsi="Sylfaen"/>
          <w:b/>
          <w:lang w:val="ka-GE"/>
        </w:rPr>
        <w:t xml:space="preserve"> </w:t>
      </w:r>
      <w:r w:rsidR="00796FE7">
        <w:rPr>
          <w:rFonts w:ascii="Sylfaen" w:hAnsi="Sylfaen"/>
          <w:lang w:val="ka-GE"/>
        </w:rPr>
        <w:t xml:space="preserve">მოცვისათვის, ზემოთ </w:t>
      </w:r>
      <w:r>
        <w:rPr>
          <w:rFonts w:ascii="Sylfaen" w:hAnsi="Sylfaen"/>
          <w:lang w:val="ka-GE"/>
        </w:rPr>
        <w:t xml:space="preserve"> </w:t>
      </w:r>
      <w:r w:rsidR="00796FE7">
        <w:rPr>
          <w:rFonts w:ascii="Sylfaen" w:hAnsi="Sylfaen"/>
          <w:lang w:val="ka-GE"/>
        </w:rPr>
        <w:t xml:space="preserve">მოყვანილ გარემოებათა გამო, </w:t>
      </w:r>
      <w:r>
        <w:rPr>
          <w:rFonts w:ascii="Sylfaen" w:hAnsi="Sylfaen"/>
          <w:lang w:val="ka-GE"/>
        </w:rPr>
        <w:t xml:space="preserve"> </w:t>
      </w:r>
      <w:r w:rsidR="00707C14">
        <w:rPr>
          <w:rFonts w:ascii="Sylfaen" w:hAnsi="Sylfaen"/>
          <w:lang w:val="ka-GE"/>
        </w:rPr>
        <w:t>საჭიროა</w:t>
      </w:r>
      <w:r w:rsidR="00796FE7">
        <w:rPr>
          <w:rFonts w:ascii="Sylfaen" w:hAnsi="Sylfaen"/>
          <w:lang w:val="ka-GE"/>
        </w:rPr>
        <w:t xml:space="preserve"> </w:t>
      </w:r>
      <w:r w:rsidR="00796FE7">
        <w:rPr>
          <w:rFonts w:ascii="Sylfaen" w:hAnsi="Sylfaen"/>
          <w:lang w:val="ka-GE"/>
        </w:rPr>
        <w:t>დაახლოებით</w:t>
      </w:r>
      <w:r w:rsidR="00796FE7">
        <w:rPr>
          <w:rFonts w:ascii="Sylfaen" w:hAnsi="Sylfaen"/>
          <w:lang w:val="ka-GE"/>
        </w:rPr>
        <w:t xml:space="preserve"> </w:t>
      </w:r>
      <w:r w:rsidR="00707C14">
        <w:rPr>
          <w:rFonts w:ascii="Sylfaen" w:hAnsi="Sylfaen"/>
          <w:lang w:val="ka-GE"/>
        </w:rPr>
        <w:t>500 000 ადამიანის იმუნიზაცია</w:t>
      </w:r>
      <w:r w:rsidR="00CD5C3D">
        <w:rPr>
          <w:rFonts w:ascii="Sylfaen" w:hAnsi="Sylfaen"/>
          <w:lang w:val="ka-GE"/>
        </w:rPr>
        <w:t xml:space="preserve"> წითელას კომპონენტიანი ვაქცინით</w:t>
      </w:r>
      <w:r w:rsidR="00A7446F">
        <w:rPr>
          <w:rFonts w:ascii="Sylfaen" w:hAnsi="Sylfaen"/>
          <w:lang w:val="ka-GE"/>
        </w:rPr>
        <w:t>, რაც საშუალებას მოგვცემს მივაღწიოთ</w:t>
      </w:r>
      <w:r w:rsidR="00377919">
        <w:rPr>
          <w:rFonts w:ascii="Sylfaen" w:hAnsi="Sylfaen"/>
          <w:lang w:val="ka-GE"/>
        </w:rPr>
        <w:t xml:space="preserve"> დაავადების გავრცელების მდგრად კონტროლ</w:t>
      </w:r>
      <w:r w:rsidR="00A7446F">
        <w:rPr>
          <w:rFonts w:ascii="Sylfaen" w:hAnsi="Sylfaen"/>
          <w:lang w:val="ka-GE"/>
        </w:rPr>
        <w:t>ს</w:t>
      </w:r>
      <w:r w:rsidR="00707C14">
        <w:rPr>
          <w:rFonts w:ascii="Sylfaen" w:hAnsi="Sylfaen"/>
          <w:lang w:val="ka-GE"/>
        </w:rPr>
        <w:t>.</w:t>
      </w:r>
      <w:r w:rsidR="00241A30">
        <w:rPr>
          <w:rFonts w:ascii="Sylfaen" w:hAnsi="Sylfaen"/>
          <w:lang w:val="ka-GE"/>
        </w:rPr>
        <w:t xml:space="preserve"> </w:t>
      </w:r>
      <w:r w:rsidR="00A7446F">
        <w:rPr>
          <w:rFonts w:ascii="Sylfaen" w:hAnsi="Sylfaen"/>
          <w:lang w:val="ka-GE"/>
        </w:rPr>
        <w:t>მაგრამ დღეს ქვეყანაში არსებული</w:t>
      </w:r>
      <w:r w:rsidR="00241A30">
        <w:rPr>
          <w:rFonts w:ascii="Sylfaen" w:hAnsi="Sylfaen"/>
          <w:lang w:val="ka-GE"/>
        </w:rPr>
        <w:t xml:space="preserve"> წწყ ვაქცინის გამოყენებისას მოსალოდნელი</w:t>
      </w:r>
      <w:r w:rsidR="00A7446F">
        <w:rPr>
          <w:rFonts w:ascii="Sylfaen" w:hAnsi="Sylfaen"/>
          <w:lang w:val="ka-GE"/>
        </w:rPr>
        <w:t xml:space="preserve"> რისკია</w:t>
      </w:r>
      <w:r w:rsidR="00241A30">
        <w:rPr>
          <w:rFonts w:ascii="Sylfaen" w:hAnsi="Sylfaen"/>
          <w:lang w:val="ka-GE"/>
        </w:rPr>
        <w:t xml:space="preserve"> ასეპტიური მენინგიტების ზრდა - ყბაყურას კომპონენტის გამო. ჯანმოს მიერ </w:t>
      </w:r>
      <w:r w:rsidR="00A7446F">
        <w:rPr>
          <w:rFonts w:ascii="Sylfaen" w:hAnsi="Sylfaen"/>
          <w:lang w:val="ka-GE"/>
        </w:rPr>
        <w:t xml:space="preserve">ასეთი </w:t>
      </w:r>
      <w:r w:rsidR="00241A30">
        <w:rPr>
          <w:rFonts w:ascii="Sylfaen" w:hAnsi="Sylfaen"/>
          <w:lang w:val="ka-GE"/>
        </w:rPr>
        <w:t xml:space="preserve">მასიური </w:t>
      </w:r>
      <w:r w:rsidR="00A7446F">
        <w:rPr>
          <w:rFonts w:ascii="Sylfaen" w:hAnsi="Sylfaen"/>
          <w:lang w:val="ka-GE"/>
        </w:rPr>
        <w:t xml:space="preserve">აცრების კამპანიისათვის </w:t>
      </w:r>
      <w:r w:rsidR="00241A30">
        <w:rPr>
          <w:rFonts w:ascii="Sylfaen" w:hAnsi="Sylfaen"/>
          <w:lang w:val="ka-GE"/>
        </w:rPr>
        <w:t>რეკომენდებულია წ</w:t>
      </w:r>
      <w:r w:rsidR="00432FAC">
        <w:rPr>
          <w:rFonts w:ascii="Sylfaen" w:hAnsi="Sylfaen"/>
          <w:lang w:val="ka-GE"/>
        </w:rPr>
        <w:t>ითელა-</w:t>
      </w:r>
      <w:r w:rsidR="00241A30">
        <w:rPr>
          <w:rFonts w:ascii="Sylfaen" w:hAnsi="Sylfaen"/>
          <w:lang w:val="ka-GE"/>
        </w:rPr>
        <w:t>წ</w:t>
      </w:r>
      <w:r w:rsidR="00432FAC">
        <w:rPr>
          <w:rFonts w:ascii="Sylfaen" w:hAnsi="Sylfaen"/>
          <w:lang w:val="ka-GE"/>
        </w:rPr>
        <w:t>ითურას</w:t>
      </w:r>
      <w:r w:rsidR="00241A30">
        <w:rPr>
          <w:rFonts w:ascii="Sylfaen" w:hAnsi="Sylfaen"/>
          <w:lang w:val="ka-GE"/>
        </w:rPr>
        <w:t xml:space="preserve"> ვაქცინა, რომელსაც </w:t>
      </w:r>
      <w:r w:rsidR="00432FAC">
        <w:rPr>
          <w:rFonts w:ascii="Sylfaen" w:hAnsi="Sylfaen"/>
          <w:lang w:val="ka-GE"/>
        </w:rPr>
        <w:t>დასავლეთის განვითარებული ქვეყნები არ აწარმოებენ</w:t>
      </w:r>
      <w:r w:rsidR="00241A30">
        <w:rPr>
          <w:rFonts w:ascii="Sylfaen" w:hAnsi="Sylfaen"/>
          <w:lang w:val="ka-GE"/>
        </w:rPr>
        <w:t>.</w:t>
      </w:r>
      <w:r w:rsidR="00796FE7">
        <w:rPr>
          <w:rFonts w:ascii="Sylfaen" w:hAnsi="Sylfaen"/>
          <w:lang w:val="ka-GE"/>
        </w:rPr>
        <w:t xml:space="preserve"> </w:t>
      </w:r>
      <w:r w:rsidR="00432FAC">
        <w:rPr>
          <w:rFonts w:ascii="Sylfaen" w:hAnsi="Sylfaen"/>
          <w:lang w:val="ka-GE"/>
        </w:rPr>
        <w:t xml:space="preserve">ყველაზე რეალისტური ვარიანტია ინდური წარმოების ვაქცინის შეძენა. </w:t>
      </w:r>
      <w:r w:rsidR="00796FE7">
        <w:rPr>
          <w:rFonts w:ascii="Sylfaen" w:hAnsi="Sylfaen"/>
          <w:lang w:val="ka-GE"/>
        </w:rPr>
        <w:t xml:space="preserve">შედეგად მოსალოდნელია </w:t>
      </w:r>
      <w:r w:rsidR="00432FAC">
        <w:rPr>
          <w:rFonts w:ascii="Sylfaen" w:hAnsi="Sylfaen"/>
          <w:lang w:val="ka-GE"/>
        </w:rPr>
        <w:t xml:space="preserve">მას მედიის და სოციალური მედიის უარყოფითი რეაქცია და </w:t>
      </w:r>
      <w:r w:rsidR="00796FE7">
        <w:rPr>
          <w:rFonts w:ascii="Sylfaen" w:hAnsi="Sylfaen"/>
          <w:lang w:val="ka-GE"/>
        </w:rPr>
        <w:t>მასობრივი აცრების კამპანიის ჩავარდნა, როგორც ეს მოხდა 2008 წ</w:t>
      </w:r>
      <w:r w:rsidR="00432FAC">
        <w:rPr>
          <w:rFonts w:ascii="Sylfaen" w:hAnsi="Sylfaen"/>
          <w:lang w:val="ka-GE"/>
        </w:rPr>
        <w:t>ელს</w:t>
      </w:r>
      <w:r w:rsidR="00B37D74">
        <w:rPr>
          <w:rFonts w:ascii="Sylfaen" w:hAnsi="Sylfaen"/>
          <w:lang w:val="ka-GE"/>
        </w:rPr>
        <w:t>.</w:t>
      </w:r>
    </w:p>
    <w:p w:rsidR="00B37D74" w:rsidRPr="0001753E" w:rsidRDefault="00B37D7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ალტერნატიულ ვარიანტად რჩება იმუნიზაციის ბოლო წლებში გამოყენებული ტაქტიკის გაგრძელება, ანუ აქტიური კომუნიკაციის კამპანიის გაგრძელება და  მოსახლეობის</w:t>
      </w:r>
      <w:r w:rsidR="00EF45B0">
        <w:rPr>
          <w:rFonts w:ascii="Sylfaen" w:hAnsi="Sylfaen"/>
          <w:lang w:val="ka-GE"/>
        </w:rPr>
        <w:t xml:space="preserve"> </w:t>
      </w:r>
      <w:r w:rsidR="00EF45B0">
        <w:rPr>
          <w:rFonts w:ascii="Sylfaen" w:hAnsi="Sylfaen"/>
          <w:lang w:val="ka-GE"/>
        </w:rPr>
        <w:t>დამატებით</w:t>
      </w:r>
      <w:r>
        <w:rPr>
          <w:rFonts w:ascii="Sylfaen" w:hAnsi="Sylfaen"/>
          <w:lang w:val="ka-GE"/>
        </w:rPr>
        <w:t xml:space="preserve"> მოზიდვა ვაქცინაციისათვის, საუკეთესო შემთხვევაში შესაძლებელი გახდება კიდევ 200000 მდე ადამიანის აცრა, რისი განხორციელებაც რეალისტურია</w:t>
      </w:r>
      <w:r w:rsidR="00EF45B0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EF45B0">
        <w:rPr>
          <w:rFonts w:ascii="Sylfaen" w:hAnsi="Sylfaen"/>
          <w:lang w:val="ka-GE"/>
        </w:rPr>
        <w:t>მართალია წითელას გავრცელების შეჩერებას მეტი დრო დაჭირდება, მაგრამ ნაკლები დანახარჯებით შესაძლებელი გახდება გრძელვადიანი მიზნის მიღწევა, წითელას გავრცელების კონტროლი ქვეყანაში.</w:t>
      </w:r>
      <w:bookmarkStart w:id="0" w:name="_GoBack"/>
      <w:bookmarkEnd w:id="0"/>
    </w:p>
    <w:sectPr w:rsidR="00B37D74" w:rsidRPr="0001753E" w:rsidSect="005D2D57">
      <w:pgSz w:w="12240" w:h="15840"/>
      <w:pgMar w:top="1340" w:right="1140" w:bottom="1780" w:left="1320" w:header="0" w:footer="159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F5443"/>
    <w:multiLevelType w:val="hybridMultilevel"/>
    <w:tmpl w:val="B644E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E7"/>
    <w:rsid w:val="0001753E"/>
    <w:rsid w:val="00052AAD"/>
    <w:rsid w:val="000F17E2"/>
    <w:rsid w:val="000F77C5"/>
    <w:rsid w:val="001336DE"/>
    <w:rsid w:val="00193758"/>
    <w:rsid w:val="001E6237"/>
    <w:rsid w:val="00241A30"/>
    <w:rsid w:val="002A3B29"/>
    <w:rsid w:val="00302C2D"/>
    <w:rsid w:val="00377919"/>
    <w:rsid w:val="003A4A81"/>
    <w:rsid w:val="00432FAC"/>
    <w:rsid w:val="00437A3C"/>
    <w:rsid w:val="004A5B24"/>
    <w:rsid w:val="005D2D57"/>
    <w:rsid w:val="005D4220"/>
    <w:rsid w:val="00615BC6"/>
    <w:rsid w:val="006624C3"/>
    <w:rsid w:val="0068296F"/>
    <w:rsid w:val="007018C1"/>
    <w:rsid w:val="00707C14"/>
    <w:rsid w:val="00745329"/>
    <w:rsid w:val="00752302"/>
    <w:rsid w:val="00796FE7"/>
    <w:rsid w:val="00830D94"/>
    <w:rsid w:val="008541E7"/>
    <w:rsid w:val="008F38E2"/>
    <w:rsid w:val="009902CE"/>
    <w:rsid w:val="009E4B98"/>
    <w:rsid w:val="00A01AFC"/>
    <w:rsid w:val="00A174C6"/>
    <w:rsid w:val="00A7446F"/>
    <w:rsid w:val="00A76C7E"/>
    <w:rsid w:val="00A91EC8"/>
    <w:rsid w:val="00B37D74"/>
    <w:rsid w:val="00B472CB"/>
    <w:rsid w:val="00B50BE4"/>
    <w:rsid w:val="00B76326"/>
    <w:rsid w:val="00BD3C62"/>
    <w:rsid w:val="00C3344C"/>
    <w:rsid w:val="00CD5C3D"/>
    <w:rsid w:val="00CD5FE1"/>
    <w:rsid w:val="00CD678D"/>
    <w:rsid w:val="00D07DE5"/>
    <w:rsid w:val="00D27851"/>
    <w:rsid w:val="00D60ED0"/>
    <w:rsid w:val="00E02D45"/>
    <w:rsid w:val="00E248AB"/>
    <w:rsid w:val="00E955E7"/>
    <w:rsid w:val="00EF45B0"/>
    <w:rsid w:val="00F0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226E5-0916-4088-A65C-9DA59610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4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Zakhashvili</dc:creator>
  <cp:keywords/>
  <dc:description/>
  <cp:lastModifiedBy>Paata Imnadze</cp:lastModifiedBy>
  <cp:revision>3</cp:revision>
  <dcterms:created xsi:type="dcterms:W3CDTF">2018-02-21T15:12:00Z</dcterms:created>
  <dcterms:modified xsi:type="dcterms:W3CDTF">2018-02-21T15:21:00Z</dcterms:modified>
</cp:coreProperties>
</file>